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793F" w14:textId="10D1E2A8" w:rsidR="00A92EE8" w:rsidRDefault="00A92EE8" w:rsidP="00A92EE8">
      <w:pPr>
        <w:pStyle w:val="Heading2"/>
      </w:pPr>
      <w:r>
        <w:t>Title</w:t>
      </w:r>
    </w:p>
    <w:p w14:paraId="06165B2C" w14:textId="79B2D6C5" w:rsidR="00A92EE8" w:rsidRDefault="00A92EE8">
      <w:r>
        <w:t>Monthly public transport patronage by mode</w:t>
      </w:r>
    </w:p>
    <w:p w14:paraId="42924D3D" w14:textId="43D8A855" w:rsidR="00A92EE8" w:rsidRDefault="00A92EE8" w:rsidP="00A92EE8">
      <w:pPr>
        <w:pStyle w:val="Heading2"/>
      </w:pPr>
      <w:r>
        <w:t>File names</w:t>
      </w:r>
    </w:p>
    <w:p w14:paraId="6D6A8FB7" w14:textId="52966E93" w:rsidR="00A92EE8" w:rsidRDefault="00A92EE8">
      <w:r>
        <w:t>Monthly public transport patronage by mode</w:t>
      </w:r>
    </w:p>
    <w:p w14:paraId="550C8320" w14:textId="20F34A6E" w:rsidR="002E0E63" w:rsidRDefault="491A01A6" w:rsidP="00A92EE8">
      <w:pPr>
        <w:pStyle w:val="Heading2"/>
      </w:pPr>
      <w:r>
        <w:t>Abstract</w:t>
      </w:r>
    </w:p>
    <w:p w14:paraId="0E669078" w14:textId="5814F26B" w:rsidR="499B8D58" w:rsidRDefault="499B8D58" w:rsidP="68069EEC">
      <w:r>
        <w:t xml:space="preserve">Monthly total patronage for metropolitan and regional train, metropolitan and regional bus, </w:t>
      </w:r>
      <w:proofErr w:type="gramStart"/>
      <w:r>
        <w:t>tram</w:t>
      </w:r>
      <w:proofErr w:type="gramEnd"/>
      <w:r>
        <w:t xml:space="preserve"> and regional coach services</w:t>
      </w:r>
      <w:r w:rsidR="46E557BB">
        <w:t xml:space="preserve"> in Victoria</w:t>
      </w:r>
      <w:r>
        <w:t>.</w:t>
      </w:r>
    </w:p>
    <w:p w14:paraId="5ED518A3" w14:textId="32978420" w:rsidR="491A01A6" w:rsidRDefault="491A01A6" w:rsidP="68069EEC">
      <w:pPr>
        <w:pStyle w:val="Heading2"/>
        <w:rPr>
          <w:rFonts w:ascii="Calibri Light" w:hAnsi="Calibri Light"/>
        </w:rPr>
      </w:pPr>
      <w:r>
        <w:t>Purpose</w:t>
      </w:r>
    </w:p>
    <w:p w14:paraId="19056F12" w14:textId="4546AD15" w:rsidR="0840728A" w:rsidRDefault="00D90E7A" w:rsidP="68069EEC">
      <w:pPr>
        <w:rPr>
          <w:rFonts w:ascii="Calibri" w:eastAsia="Calibri" w:hAnsi="Calibri" w:cs="Calibri"/>
          <w:color w:val="000000" w:themeColor="text1"/>
        </w:rPr>
      </w:pPr>
      <w:r>
        <w:rPr>
          <w:rFonts w:ascii="Calibri" w:eastAsia="Calibri" w:hAnsi="Calibri" w:cs="Calibri"/>
          <w:color w:val="000000" w:themeColor="text1"/>
        </w:rPr>
        <w:t xml:space="preserve">Allows users to analyse trends in patronage by mode. </w:t>
      </w:r>
      <w:r w:rsidR="0840728A" w:rsidRPr="68069EEC">
        <w:rPr>
          <w:rFonts w:ascii="Calibri" w:eastAsia="Calibri" w:hAnsi="Calibri" w:cs="Calibri"/>
          <w:color w:val="000000" w:themeColor="text1"/>
        </w:rPr>
        <w:t>Patronage is a count of patron boardings onto services, with the exclusion of train transfers that do not involve a change in direction.  Patrons includes all persons 5 and over, excluding drivers and station staff.</w:t>
      </w:r>
    </w:p>
    <w:p w14:paraId="611FCE02" w14:textId="3165F69F" w:rsidR="00A92EE8" w:rsidRDefault="00A92EE8" w:rsidP="00A92EE8">
      <w:pPr>
        <w:pStyle w:val="Heading2"/>
      </w:pPr>
      <w:r>
        <w:t>Tags</w:t>
      </w:r>
    </w:p>
    <w:p w14:paraId="6579D817" w14:textId="45CAA7F2" w:rsidR="00A92EE8" w:rsidRDefault="00A92EE8">
      <w:r>
        <w:t>Public transport, patronage, train, tram, bus,</w:t>
      </w:r>
      <w:r w:rsidR="70A17809">
        <w:t xml:space="preserve"> coach,</w:t>
      </w:r>
      <w:r>
        <w:t xml:space="preserve"> usage</w:t>
      </w:r>
      <w:r w:rsidR="53A2DFB5">
        <w:t>, boardings, ridership</w:t>
      </w:r>
    </w:p>
    <w:p w14:paraId="4DDC4D0C" w14:textId="54BD5C62" w:rsidR="00A92EE8" w:rsidRDefault="00A92EE8" w:rsidP="00A92EE8">
      <w:pPr>
        <w:pStyle w:val="Heading2"/>
      </w:pPr>
      <w:r>
        <w:t>Frequency</w:t>
      </w:r>
    </w:p>
    <w:p w14:paraId="7F8DFD74" w14:textId="541A7E4A" w:rsidR="00A92EE8" w:rsidRDefault="00861E78">
      <w:r>
        <w:t>Quarterly</w:t>
      </w:r>
      <w:r w:rsidR="00A92EE8">
        <w:t xml:space="preserve"> update</w:t>
      </w:r>
    </w:p>
    <w:p w14:paraId="363BF1F9" w14:textId="5A925EBB" w:rsidR="00A92EE8" w:rsidRDefault="00A92EE8" w:rsidP="00A92EE8">
      <w:pPr>
        <w:pStyle w:val="Heading2"/>
      </w:pPr>
      <w:r>
        <w:t>Data fields</w:t>
      </w:r>
    </w:p>
    <w:tbl>
      <w:tblPr>
        <w:tblStyle w:val="TableGrid"/>
        <w:tblW w:w="0" w:type="auto"/>
        <w:tblLook w:val="04A0" w:firstRow="1" w:lastRow="0" w:firstColumn="1" w:lastColumn="0" w:noHBand="0" w:noVBand="1"/>
      </w:tblPr>
      <w:tblGrid>
        <w:gridCol w:w="2789"/>
        <w:gridCol w:w="1601"/>
        <w:gridCol w:w="1417"/>
        <w:gridCol w:w="4111"/>
        <w:gridCol w:w="4030"/>
      </w:tblGrid>
      <w:tr w:rsidR="00A92EE8" w:rsidRPr="009D61F4" w14:paraId="0CD90C1C" w14:textId="77777777" w:rsidTr="68069EEC">
        <w:tc>
          <w:tcPr>
            <w:tcW w:w="2789" w:type="dxa"/>
          </w:tcPr>
          <w:p w14:paraId="08A78D9D" w14:textId="4000E3DD" w:rsidR="00A92EE8" w:rsidRPr="009D61F4" w:rsidRDefault="00A92EE8">
            <w:pPr>
              <w:rPr>
                <w:b/>
                <w:bCs/>
              </w:rPr>
            </w:pPr>
            <w:r w:rsidRPr="009D61F4">
              <w:rPr>
                <w:b/>
                <w:bCs/>
              </w:rPr>
              <w:t>Field name</w:t>
            </w:r>
          </w:p>
        </w:tc>
        <w:tc>
          <w:tcPr>
            <w:tcW w:w="1601" w:type="dxa"/>
          </w:tcPr>
          <w:p w14:paraId="1EF06AAC" w14:textId="44AED60B" w:rsidR="00A92EE8" w:rsidRPr="009D61F4" w:rsidRDefault="00A92EE8">
            <w:pPr>
              <w:rPr>
                <w:b/>
                <w:bCs/>
              </w:rPr>
            </w:pPr>
            <w:r w:rsidRPr="009D61F4">
              <w:rPr>
                <w:b/>
                <w:bCs/>
              </w:rPr>
              <w:t>Data type</w:t>
            </w:r>
          </w:p>
        </w:tc>
        <w:tc>
          <w:tcPr>
            <w:tcW w:w="1417" w:type="dxa"/>
          </w:tcPr>
          <w:p w14:paraId="08390987" w14:textId="30D2120A" w:rsidR="00A92EE8" w:rsidRPr="009D61F4" w:rsidRDefault="00A92EE8">
            <w:pPr>
              <w:rPr>
                <w:b/>
                <w:bCs/>
              </w:rPr>
            </w:pPr>
            <w:r w:rsidRPr="009D61F4">
              <w:rPr>
                <w:b/>
                <w:bCs/>
              </w:rPr>
              <w:t>Width</w:t>
            </w:r>
          </w:p>
        </w:tc>
        <w:tc>
          <w:tcPr>
            <w:tcW w:w="4111" w:type="dxa"/>
          </w:tcPr>
          <w:p w14:paraId="0F2F26A2" w14:textId="7A07C175" w:rsidR="00A92EE8" w:rsidRPr="009D61F4" w:rsidRDefault="00A92EE8">
            <w:pPr>
              <w:rPr>
                <w:b/>
                <w:bCs/>
              </w:rPr>
            </w:pPr>
            <w:r w:rsidRPr="009D61F4">
              <w:rPr>
                <w:b/>
                <w:bCs/>
              </w:rPr>
              <w:t>Definition</w:t>
            </w:r>
          </w:p>
        </w:tc>
        <w:tc>
          <w:tcPr>
            <w:tcW w:w="4030" w:type="dxa"/>
          </w:tcPr>
          <w:p w14:paraId="1EE9DD3C" w14:textId="13521AEE" w:rsidR="00A92EE8" w:rsidRPr="009D61F4" w:rsidRDefault="00866D6A">
            <w:pPr>
              <w:rPr>
                <w:b/>
                <w:bCs/>
              </w:rPr>
            </w:pPr>
            <w:r>
              <w:rPr>
                <w:b/>
                <w:bCs/>
              </w:rPr>
              <w:t>D</w:t>
            </w:r>
            <w:r w:rsidR="00A92EE8" w:rsidRPr="009D61F4">
              <w:rPr>
                <w:b/>
                <w:bCs/>
              </w:rPr>
              <w:t>omain</w:t>
            </w:r>
          </w:p>
        </w:tc>
      </w:tr>
      <w:tr w:rsidR="00382262" w14:paraId="77514E0B" w14:textId="77777777" w:rsidTr="68069EEC">
        <w:tc>
          <w:tcPr>
            <w:tcW w:w="2789" w:type="dxa"/>
          </w:tcPr>
          <w:p w14:paraId="7DB24252" w14:textId="7DB8E154" w:rsidR="00382262" w:rsidRDefault="00382262" w:rsidP="00382262">
            <w:r>
              <w:t>Year</w:t>
            </w:r>
          </w:p>
        </w:tc>
        <w:tc>
          <w:tcPr>
            <w:tcW w:w="1601" w:type="dxa"/>
          </w:tcPr>
          <w:p w14:paraId="3AA72DD0" w14:textId="4F37E3EC" w:rsidR="00382262" w:rsidRDefault="00382262" w:rsidP="00382262">
            <w:r>
              <w:t>Int</w:t>
            </w:r>
          </w:p>
        </w:tc>
        <w:tc>
          <w:tcPr>
            <w:tcW w:w="1417" w:type="dxa"/>
          </w:tcPr>
          <w:p w14:paraId="3A955F4D" w14:textId="77777777" w:rsidR="00382262" w:rsidRDefault="00382262" w:rsidP="00382262"/>
        </w:tc>
        <w:tc>
          <w:tcPr>
            <w:tcW w:w="4111" w:type="dxa"/>
          </w:tcPr>
          <w:p w14:paraId="0F75E58B" w14:textId="771B93AB" w:rsidR="00382262" w:rsidRDefault="00382262" w:rsidP="00382262">
            <w:r>
              <w:t>Year</w:t>
            </w:r>
          </w:p>
        </w:tc>
        <w:tc>
          <w:tcPr>
            <w:tcW w:w="4030" w:type="dxa"/>
          </w:tcPr>
          <w:p w14:paraId="38F3AD6F" w14:textId="77777777" w:rsidR="00382262" w:rsidRDefault="00382262" w:rsidP="00382262"/>
        </w:tc>
      </w:tr>
      <w:tr w:rsidR="68069EEC" w14:paraId="3077637A" w14:textId="77777777" w:rsidTr="68069EEC">
        <w:tc>
          <w:tcPr>
            <w:tcW w:w="2789" w:type="dxa"/>
          </w:tcPr>
          <w:p w14:paraId="032567FB" w14:textId="736DFD36" w:rsidR="4BD9AB13" w:rsidRDefault="4BD9AB13" w:rsidP="68069EEC">
            <w:r>
              <w:t>Month</w:t>
            </w:r>
          </w:p>
        </w:tc>
        <w:tc>
          <w:tcPr>
            <w:tcW w:w="1601" w:type="dxa"/>
          </w:tcPr>
          <w:p w14:paraId="36E1D309" w14:textId="5CF87A92" w:rsidR="4BD9AB13" w:rsidRDefault="4BD9AB13" w:rsidP="68069EEC">
            <w:pPr>
              <w:spacing w:line="259" w:lineRule="auto"/>
            </w:pPr>
            <w:r>
              <w:t>Int</w:t>
            </w:r>
          </w:p>
        </w:tc>
        <w:tc>
          <w:tcPr>
            <w:tcW w:w="1417" w:type="dxa"/>
          </w:tcPr>
          <w:p w14:paraId="064E10B7" w14:textId="03FD6910" w:rsidR="68069EEC" w:rsidRDefault="68069EEC" w:rsidP="68069EEC"/>
        </w:tc>
        <w:tc>
          <w:tcPr>
            <w:tcW w:w="4111" w:type="dxa"/>
          </w:tcPr>
          <w:p w14:paraId="6DEA6C4E" w14:textId="3ACBC845" w:rsidR="68069EEC" w:rsidRDefault="00B51477" w:rsidP="68069EEC">
            <w:r>
              <w:t>Month number</w:t>
            </w:r>
          </w:p>
        </w:tc>
        <w:tc>
          <w:tcPr>
            <w:tcW w:w="4030" w:type="dxa"/>
          </w:tcPr>
          <w:p w14:paraId="1341E7B4" w14:textId="24A02601" w:rsidR="4BD9AB13" w:rsidRDefault="4BD9AB13" w:rsidP="68069EEC">
            <w:r>
              <w:t>1,</w:t>
            </w:r>
            <w:r w:rsidR="2CDB437C">
              <w:t xml:space="preserve"> </w:t>
            </w:r>
            <w:r>
              <w:t>2</w:t>
            </w:r>
            <w:proofErr w:type="gramStart"/>
            <w:r w:rsidR="4EE5A0DA">
              <w:t xml:space="preserve"> </w:t>
            </w:r>
            <w:r>
              <w:t>,…</w:t>
            </w:r>
            <w:proofErr w:type="gramEnd"/>
            <w:r>
              <w:t>,</w:t>
            </w:r>
            <w:r w:rsidR="53F3C872">
              <w:t xml:space="preserve"> </w:t>
            </w:r>
            <w:r>
              <w:t>12</w:t>
            </w:r>
          </w:p>
        </w:tc>
      </w:tr>
      <w:tr w:rsidR="00382262" w14:paraId="7A6F3E27" w14:textId="77777777" w:rsidTr="68069EEC">
        <w:tc>
          <w:tcPr>
            <w:tcW w:w="2789" w:type="dxa"/>
          </w:tcPr>
          <w:p w14:paraId="052BEA38" w14:textId="366F6894" w:rsidR="00382262" w:rsidRDefault="00382262" w:rsidP="00382262">
            <w:r>
              <w:t>Month</w:t>
            </w:r>
            <w:r w:rsidR="006B4D2E">
              <w:t xml:space="preserve"> name</w:t>
            </w:r>
          </w:p>
        </w:tc>
        <w:tc>
          <w:tcPr>
            <w:tcW w:w="1601" w:type="dxa"/>
          </w:tcPr>
          <w:p w14:paraId="00C52151" w14:textId="2FF1D61B" w:rsidR="00382262" w:rsidRDefault="545D5A0E" w:rsidP="68069EEC">
            <w:pPr>
              <w:spacing w:line="259" w:lineRule="auto"/>
            </w:pPr>
            <w:r>
              <w:t>Char</w:t>
            </w:r>
          </w:p>
        </w:tc>
        <w:tc>
          <w:tcPr>
            <w:tcW w:w="1417" w:type="dxa"/>
          </w:tcPr>
          <w:p w14:paraId="259BD208" w14:textId="2DBA4F0C" w:rsidR="00382262" w:rsidRDefault="6BE1AB1D" w:rsidP="00382262">
            <w:r>
              <w:t>50</w:t>
            </w:r>
          </w:p>
        </w:tc>
        <w:tc>
          <w:tcPr>
            <w:tcW w:w="4111" w:type="dxa"/>
          </w:tcPr>
          <w:p w14:paraId="65D539D2" w14:textId="77FCEED2" w:rsidR="00382262" w:rsidRDefault="00382262" w:rsidP="00382262">
            <w:r>
              <w:t>Month</w:t>
            </w:r>
          </w:p>
        </w:tc>
        <w:tc>
          <w:tcPr>
            <w:tcW w:w="4030" w:type="dxa"/>
          </w:tcPr>
          <w:p w14:paraId="40182C7B" w14:textId="6C01D66C" w:rsidR="00382262" w:rsidRDefault="00E720B3" w:rsidP="00382262">
            <w:r>
              <w:t>January, February, March, April, May, June, July, August, September, October, November</w:t>
            </w:r>
            <w:r w:rsidR="009A4684">
              <w:t xml:space="preserve">, </w:t>
            </w:r>
            <w:r w:rsidR="004E5908">
              <w:t>December</w:t>
            </w:r>
          </w:p>
        </w:tc>
      </w:tr>
      <w:tr w:rsidR="00382262" w14:paraId="12B8A3B9" w14:textId="77777777" w:rsidTr="68069EEC">
        <w:tc>
          <w:tcPr>
            <w:tcW w:w="2789" w:type="dxa"/>
          </w:tcPr>
          <w:p w14:paraId="18B04559" w14:textId="0DEC2D3F" w:rsidR="00382262" w:rsidRDefault="00382262" w:rsidP="00382262">
            <w:r>
              <w:t>Metropolitan train</w:t>
            </w:r>
          </w:p>
        </w:tc>
        <w:tc>
          <w:tcPr>
            <w:tcW w:w="1601" w:type="dxa"/>
          </w:tcPr>
          <w:p w14:paraId="3D611F74" w14:textId="68455047" w:rsidR="00382262" w:rsidRDefault="6F07B3C6" w:rsidP="00382262">
            <w:r>
              <w:t>Int</w:t>
            </w:r>
          </w:p>
        </w:tc>
        <w:tc>
          <w:tcPr>
            <w:tcW w:w="1417" w:type="dxa"/>
          </w:tcPr>
          <w:p w14:paraId="520080DA" w14:textId="77777777" w:rsidR="00382262" w:rsidRDefault="00382262" w:rsidP="00382262"/>
        </w:tc>
        <w:tc>
          <w:tcPr>
            <w:tcW w:w="4111" w:type="dxa"/>
          </w:tcPr>
          <w:p w14:paraId="785C119F" w14:textId="55DF3342" w:rsidR="00382262" w:rsidRDefault="00382262" w:rsidP="00382262">
            <w:r>
              <w:t>Metropolitan train patronage</w:t>
            </w:r>
          </w:p>
        </w:tc>
        <w:tc>
          <w:tcPr>
            <w:tcW w:w="4030" w:type="dxa"/>
          </w:tcPr>
          <w:p w14:paraId="7F1CE636" w14:textId="77777777" w:rsidR="00382262" w:rsidRDefault="00382262" w:rsidP="00382262"/>
        </w:tc>
      </w:tr>
      <w:tr w:rsidR="00382262" w14:paraId="56D11855" w14:textId="77777777" w:rsidTr="68069EEC">
        <w:tc>
          <w:tcPr>
            <w:tcW w:w="2789" w:type="dxa"/>
          </w:tcPr>
          <w:p w14:paraId="506DBEA8" w14:textId="29FFE030" w:rsidR="00382262" w:rsidRDefault="00382262" w:rsidP="00382262">
            <w:r>
              <w:t>Tram</w:t>
            </w:r>
          </w:p>
        </w:tc>
        <w:tc>
          <w:tcPr>
            <w:tcW w:w="1601" w:type="dxa"/>
          </w:tcPr>
          <w:p w14:paraId="1D3813B1" w14:textId="034AA2A6" w:rsidR="00382262" w:rsidRDefault="751DFD80" w:rsidP="00382262">
            <w:r>
              <w:t>Int</w:t>
            </w:r>
          </w:p>
        </w:tc>
        <w:tc>
          <w:tcPr>
            <w:tcW w:w="1417" w:type="dxa"/>
          </w:tcPr>
          <w:p w14:paraId="0B582CEB" w14:textId="77777777" w:rsidR="00382262" w:rsidRDefault="00382262" w:rsidP="00382262"/>
        </w:tc>
        <w:tc>
          <w:tcPr>
            <w:tcW w:w="4111" w:type="dxa"/>
          </w:tcPr>
          <w:p w14:paraId="50BFEF03" w14:textId="45839DBB" w:rsidR="00382262" w:rsidRDefault="00382262" w:rsidP="00382262">
            <w:r>
              <w:t>Tram patronage</w:t>
            </w:r>
          </w:p>
        </w:tc>
        <w:tc>
          <w:tcPr>
            <w:tcW w:w="4030" w:type="dxa"/>
          </w:tcPr>
          <w:p w14:paraId="6E413668" w14:textId="77777777" w:rsidR="00382262" w:rsidRDefault="00382262" w:rsidP="00382262"/>
        </w:tc>
      </w:tr>
      <w:tr w:rsidR="00382262" w14:paraId="1A4D68AD" w14:textId="77777777" w:rsidTr="68069EEC">
        <w:tc>
          <w:tcPr>
            <w:tcW w:w="2789" w:type="dxa"/>
          </w:tcPr>
          <w:p w14:paraId="2E9F6C17" w14:textId="52D6C7F1" w:rsidR="00382262" w:rsidRDefault="00382262" w:rsidP="00382262">
            <w:r>
              <w:t>Metropolitan bus</w:t>
            </w:r>
          </w:p>
        </w:tc>
        <w:tc>
          <w:tcPr>
            <w:tcW w:w="1601" w:type="dxa"/>
          </w:tcPr>
          <w:p w14:paraId="350287D2" w14:textId="22E723FA" w:rsidR="00382262" w:rsidRDefault="14F31EDE" w:rsidP="00382262">
            <w:r>
              <w:t>Int</w:t>
            </w:r>
          </w:p>
        </w:tc>
        <w:tc>
          <w:tcPr>
            <w:tcW w:w="1417" w:type="dxa"/>
          </w:tcPr>
          <w:p w14:paraId="3D21587C" w14:textId="77777777" w:rsidR="00382262" w:rsidRDefault="00382262" w:rsidP="00382262"/>
        </w:tc>
        <w:tc>
          <w:tcPr>
            <w:tcW w:w="4111" w:type="dxa"/>
          </w:tcPr>
          <w:p w14:paraId="434C54AE" w14:textId="6FBCDDEF" w:rsidR="00382262" w:rsidRDefault="00382262" w:rsidP="00382262">
            <w:r>
              <w:t>Metropolitan bus patronage</w:t>
            </w:r>
          </w:p>
        </w:tc>
        <w:tc>
          <w:tcPr>
            <w:tcW w:w="4030" w:type="dxa"/>
          </w:tcPr>
          <w:p w14:paraId="62596390" w14:textId="77777777" w:rsidR="00382262" w:rsidRDefault="00382262" w:rsidP="00382262"/>
        </w:tc>
      </w:tr>
      <w:tr w:rsidR="00382262" w14:paraId="0CF3588B" w14:textId="77777777" w:rsidTr="68069EEC">
        <w:tc>
          <w:tcPr>
            <w:tcW w:w="2789" w:type="dxa"/>
          </w:tcPr>
          <w:p w14:paraId="41CDC455" w14:textId="41647DB9" w:rsidR="00382262" w:rsidRDefault="00382262" w:rsidP="00382262">
            <w:r>
              <w:t>Regional train</w:t>
            </w:r>
          </w:p>
        </w:tc>
        <w:tc>
          <w:tcPr>
            <w:tcW w:w="1601" w:type="dxa"/>
          </w:tcPr>
          <w:p w14:paraId="0DF1C2EE" w14:textId="7934E822" w:rsidR="00382262" w:rsidRDefault="53AECF11" w:rsidP="00382262">
            <w:r>
              <w:t>Int</w:t>
            </w:r>
          </w:p>
        </w:tc>
        <w:tc>
          <w:tcPr>
            <w:tcW w:w="1417" w:type="dxa"/>
          </w:tcPr>
          <w:p w14:paraId="0ECFD3F8" w14:textId="77777777" w:rsidR="00382262" w:rsidRDefault="00382262" w:rsidP="00382262"/>
        </w:tc>
        <w:tc>
          <w:tcPr>
            <w:tcW w:w="4111" w:type="dxa"/>
          </w:tcPr>
          <w:p w14:paraId="56038AB6" w14:textId="16D8B1CF" w:rsidR="00382262" w:rsidRDefault="00382262" w:rsidP="00382262">
            <w:r>
              <w:t>Regional train patronage</w:t>
            </w:r>
          </w:p>
        </w:tc>
        <w:tc>
          <w:tcPr>
            <w:tcW w:w="4030" w:type="dxa"/>
          </w:tcPr>
          <w:p w14:paraId="60ED5C1B" w14:textId="77777777" w:rsidR="00382262" w:rsidRDefault="00382262" w:rsidP="00382262"/>
        </w:tc>
      </w:tr>
      <w:tr w:rsidR="00382262" w14:paraId="1E991AD8" w14:textId="77777777" w:rsidTr="68069EEC">
        <w:tc>
          <w:tcPr>
            <w:tcW w:w="2789" w:type="dxa"/>
          </w:tcPr>
          <w:p w14:paraId="023589A2" w14:textId="1C639834" w:rsidR="00382262" w:rsidRDefault="00382262" w:rsidP="00382262">
            <w:r>
              <w:t>Regional coach</w:t>
            </w:r>
          </w:p>
        </w:tc>
        <w:tc>
          <w:tcPr>
            <w:tcW w:w="1601" w:type="dxa"/>
          </w:tcPr>
          <w:p w14:paraId="5AEDD069" w14:textId="38AE22F7" w:rsidR="00382262" w:rsidRDefault="28C394E3" w:rsidP="00382262">
            <w:r>
              <w:t>Int</w:t>
            </w:r>
          </w:p>
        </w:tc>
        <w:tc>
          <w:tcPr>
            <w:tcW w:w="1417" w:type="dxa"/>
          </w:tcPr>
          <w:p w14:paraId="70612DB3" w14:textId="77777777" w:rsidR="00382262" w:rsidRDefault="00382262" w:rsidP="00382262"/>
        </w:tc>
        <w:tc>
          <w:tcPr>
            <w:tcW w:w="4111" w:type="dxa"/>
          </w:tcPr>
          <w:p w14:paraId="5B232FE6" w14:textId="550C5EED" w:rsidR="00382262" w:rsidRDefault="00382262" w:rsidP="00382262">
            <w:r>
              <w:t>Regional coach patronage</w:t>
            </w:r>
          </w:p>
        </w:tc>
        <w:tc>
          <w:tcPr>
            <w:tcW w:w="4030" w:type="dxa"/>
          </w:tcPr>
          <w:p w14:paraId="6FF17EC4" w14:textId="77777777" w:rsidR="00382262" w:rsidRDefault="00382262" w:rsidP="00382262"/>
        </w:tc>
      </w:tr>
      <w:tr w:rsidR="00382262" w14:paraId="0274E742" w14:textId="77777777" w:rsidTr="68069EEC">
        <w:tc>
          <w:tcPr>
            <w:tcW w:w="2789" w:type="dxa"/>
          </w:tcPr>
          <w:p w14:paraId="332B7FD8" w14:textId="0C6544D1" w:rsidR="00382262" w:rsidRDefault="00382262" w:rsidP="00382262">
            <w:r>
              <w:t>Regional bus</w:t>
            </w:r>
          </w:p>
        </w:tc>
        <w:tc>
          <w:tcPr>
            <w:tcW w:w="1601" w:type="dxa"/>
          </w:tcPr>
          <w:p w14:paraId="26D447D4" w14:textId="76D28988" w:rsidR="00382262" w:rsidRDefault="06014A83" w:rsidP="00382262">
            <w:r>
              <w:t>Int</w:t>
            </w:r>
          </w:p>
        </w:tc>
        <w:tc>
          <w:tcPr>
            <w:tcW w:w="1417" w:type="dxa"/>
          </w:tcPr>
          <w:p w14:paraId="38D458FF" w14:textId="77777777" w:rsidR="00382262" w:rsidRDefault="00382262" w:rsidP="00382262"/>
        </w:tc>
        <w:tc>
          <w:tcPr>
            <w:tcW w:w="4111" w:type="dxa"/>
          </w:tcPr>
          <w:p w14:paraId="45670554" w14:textId="21C61B6A" w:rsidR="00382262" w:rsidRDefault="00382262" w:rsidP="00382262">
            <w:r>
              <w:t>Regional bus patronage</w:t>
            </w:r>
          </w:p>
        </w:tc>
        <w:tc>
          <w:tcPr>
            <w:tcW w:w="4030" w:type="dxa"/>
          </w:tcPr>
          <w:p w14:paraId="1C44476D" w14:textId="77777777" w:rsidR="00382262" w:rsidRDefault="00382262" w:rsidP="00382262"/>
        </w:tc>
      </w:tr>
    </w:tbl>
    <w:p w14:paraId="3C491D87" w14:textId="534C53C0" w:rsidR="00A92EE8" w:rsidRDefault="00A92EE8"/>
    <w:p w14:paraId="3235BECC" w14:textId="1AB4E03E" w:rsidR="00A92EE8" w:rsidRDefault="00A92EE8" w:rsidP="00A92EE8">
      <w:pPr>
        <w:pStyle w:val="Heading2"/>
      </w:pPr>
      <w:r>
        <w:t>Licencing</w:t>
      </w:r>
    </w:p>
    <w:p w14:paraId="280B7B4C" w14:textId="0EF87C36" w:rsidR="00A92EE8" w:rsidRDefault="00A92EE8">
      <w:r>
        <w:t>Creative commons 4.0</w:t>
      </w:r>
    </w:p>
    <w:p w14:paraId="3AB31620" w14:textId="20968883" w:rsidR="00A92EE8" w:rsidRDefault="00A92EE8" w:rsidP="00A92EE8">
      <w:pPr>
        <w:pStyle w:val="Heading2"/>
      </w:pPr>
      <w:r>
        <w:t>Data quality</w:t>
      </w:r>
    </w:p>
    <w:p w14:paraId="7D361D9C" w14:textId="27CCCA37" w:rsidR="00A92EE8" w:rsidRDefault="5CBA0EAE" w:rsidP="68069EEC">
      <w:pPr>
        <w:rPr>
          <w:rFonts w:ascii="Calibri" w:eastAsia="Calibri" w:hAnsi="Calibri" w:cs="Calibri"/>
          <w:color w:val="000000" w:themeColor="text1"/>
        </w:rPr>
      </w:pPr>
      <w:r w:rsidRPr="68069EEC">
        <w:rPr>
          <w:rFonts w:ascii="Calibri" w:eastAsia="Calibri" w:hAnsi="Calibri" w:cs="Calibri"/>
          <w:color w:val="000000" w:themeColor="text1"/>
        </w:rPr>
        <w:t>1) Patronage data for metropolitan modes and for regional bus is derived from myki ticketing data. As ticketing data provides an incomplete picture of the number of people using public transport, DoT also conducts a patronage survey to supplement myki data. The purpose of the patronage survey is to determine the transaction rate, which is the percentage of passengers who ‘touch-on’ when they travel. Ticketing transactions are boosted according to the transaction rate to provide an estimate of total patronage.</w:t>
      </w:r>
    </w:p>
    <w:p w14:paraId="1FACD6E8" w14:textId="69D2E81E" w:rsidR="00A92EE8" w:rsidRDefault="5CBA0EAE" w:rsidP="68069EEC">
      <w:pPr>
        <w:rPr>
          <w:rFonts w:ascii="Calibri" w:eastAsia="Calibri" w:hAnsi="Calibri" w:cs="Calibri"/>
          <w:color w:val="000000" w:themeColor="text1"/>
        </w:rPr>
      </w:pPr>
      <w:r w:rsidRPr="68069EEC">
        <w:rPr>
          <w:rFonts w:ascii="Calibri" w:eastAsia="Calibri" w:hAnsi="Calibri" w:cs="Calibri"/>
          <w:color w:val="000000" w:themeColor="text1"/>
        </w:rPr>
        <w:t>2) As of January 2021, metropolitan train patronage uses barrier count data, where available, in place of survey observations to determine the transaction rate.</w:t>
      </w:r>
    </w:p>
    <w:p w14:paraId="791FEB44" w14:textId="6B19B0C7" w:rsidR="00A92EE8" w:rsidRDefault="5CBA0EAE" w:rsidP="68069EEC">
      <w:pPr>
        <w:rPr>
          <w:rFonts w:ascii="Calibri" w:eastAsia="Calibri" w:hAnsi="Calibri" w:cs="Calibri"/>
          <w:color w:val="000000" w:themeColor="text1"/>
        </w:rPr>
      </w:pPr>
      <w:r w:rsidRPr="68069EEC">
        <w:rPr>
          <w:rFonts w:ascii="Calibri" w:eastAsia="Calibri" w:hAnsi="Calibri" w:cs="Calibri"/>
          <w:color w:val="000000" w:themeColor="text1"/>
        </w:rPr>
        <w:t>3) Metropolitan train patronage is derived from a count of station entries, plus a 5% ‘transfer uplift’ to account for trips following a transfer within a station.</w:t>
      </w:r>
    </w:p>
    <w:p w14:paraId="4465E957" w14:textId="5D99CC29" w:rsidR="00A92EE8" w:rsidRDefault="5CBA0EAE" w:rsidP="68069EEC">
      <w:pPr>
        <w:rPr>
          <w:rFonts w:ascii="Calibri" w:eastAsia="Calibri" w:hAnsi="Calibri" w:cs="Calibri"/>
          <w:color w:val="000000" w:themeColor="text1"/>
        </w:rPr>
      </w:pPr>
      <w:r w:rsidRPr="68069EEC">
        <w:rPr>
          <w:rFonts w:ascii="Calibri" w:eastAsia="Calibri" w:hAnsi="Calibri" w:cs="Calibri"/>
          <w:color w:val="000000" w:themeColor="text1"/>
        </w:rPr>
        <w:t>4) Patronage data for regional train and coach is provided by V/Line and is based on conductor or driver counts for each regional train and coach service.</w:t>
      </w:r>
    </w:p>
    <w:p w14:paraId="381CEF82" w14:textId="057B99A6" w:rsidR="00505189" w:rsidRPr="00EB7CA7" w:rsidRDefault="5CBA0EAE" w:rsidP="001F794F">
      <w:r w:rsidRPr="68069EEC">
        <w:rPr>
          <w:rFonts w:ascii="Calibri" w:eastAsia="Calibri" w:hAnsi="Calibri" w:cs="Calibri"/>
          <w:color w:val="000000" w:themeColor="text1"/>
        </w:rPr>
        <w:t>5) Patronage data for regional bus also includes patronage estimates for services that are not myki enabled. This data is derived from the ‘monthly statistical returns’ completed by each bus operator.</w:t>
      </w:r>
    </w:p>
    <w:sectPr w:rsidR="00505189" w:rsidRPr="00EB7CA7" w:rsidSect="00A92E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A890" w14:textId="77777777" w:rsidR="00E37E91" w:rsidRDefault="00E37E91" w:rsidP="00E37E91">
      <w:pPr>
        <w:spacing w:after="0" w:line="240" w:lineRule="auto"/>
      </w:pPr>
      <w:r>
        <w:separator/>
      </w:r>
    </w:p>
  </w:endnote>
  <w:endnote w:type="continuationSeparator" w:id="0">
    <w:p w14:paraId="52946ADC" w14:textId="77777777" w:rsidR="00E37E91" w:rsidRDefault="00E37E91" w:rsidP="00E3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348" w14:textId="77777777" w:rsidR="00E37E91" w:rsidRDefault="00E37E91" w:rsidP="00E37E91">
      <w:pPr>
        <w:spacing w:after="0" w:line="240" w:lineRule="auto"/>
      </w:pPr>
      <w:r>
        <w:separator/>
      </w:r>
    </w:p>
  </w:footnote>
  <w:footnote w:type="continuationSeparator" w:id="0">
    <w:p w14:paraId="4B1FD400" w14:textId="77777777" w:rsidR="00E37E91" w:rsidRDefault="00E37E91" w:rsidP="00E3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7838"/>
    <w:multiLevelType w:val="hybridMultilevel"/>
    <w:tmpl w:val="5A829268"/>
    <w:lvl w:ilvl="0" w:tplc="E89E89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541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8"/>
    <w:rsid w:val="000150C9"/>
    <w:rsid w:val="000315E0"/>
    <w:rsid w:val="00060936"/>
    <w:rsid w:val="0007062F"/>
    <w:rsid w:val="000714E7"/>
    <w:rsid w:val="000B3385"/>
    <w:rsid w:val="000E08A4"/>
    <w:rsid w:val="001106BC"/>
    <w:rsid w:val="001114E4"/>
    <w:rsid w:val="00135D4D"/>
    <w:rsid w:val="00143E35"/>
    <w:rsid w:val="001923A1"/>
    <w:rsid w:val="001A4624"/>
    <w:rsid w:val="001B0502"/>
    <w:rsid w:val="001B4E28"/>
    <w:rsid w:val="001E07CD"/>
    <w:rsid w:val="001F794F"/>
    <w:rsid w:val="00205484"/>
    <w:rsid w:val="00206969"/>
    <w:rsid w:val="0024398D"/>
    <w:rsid w:val="00295BA1"/>
    <w:rsid w:val="002B2974"/>
    <w:rsid w:val="002C566B"/>
    <w:rsid w:val="002D3E66"/>
    <w:rsid w:val="002D68B1"/>
    <w:rsid w:val="002E0E63"/>
    <w:rsid w:val="002F475D"/>
    <w:rsid w:val="00342271"/>
    <w:rsid w:val="00356077"/>
    <w:rsid w:val="003644B4"/>
    <w:rsid w:val="00382262"/>
    <w:rsid w:val="003A3486"/>
    <w:rsid w:val="003A6574"/>
    <w:rsid w:val="003C6768"/>
    <w:rsid w:val="003D7BEB"/>
    <w:rsid w:val="004229DF"/>
    <w:rsid w:val="00441A5A"/>
    <w:rsid w:val="004649A5"/>
    <w:rsid w:val="004B4623"/>
    <w:rsid w:val="004C50DE"/>
    <w:rsid w:val="004D0532"/>
    <w:rsid w:val="004D28FB"/>
    <w:rsid w:val="004E5908"/>
    <w:rsid w:val="00505189"/>
    <w:rsid w:val="00516D49"/>
    <w:rsid w:val="00537DF8"/>
    <w:rsid w:val="0054341C"/>
    <w:rsid w:val="00544987"/>
    <w:rsid w:val="0055365A"/>
    <w:rsid w:val="00565862"/>
    <w:rsid w:val="0058238B"/>
    <w:rsid w:val="005C16C8"/>
    <w:rsid w:val="005D1144"/>
    <w:rsid w:val="005D51FB"/>
    <w:rsid w:val="00641A57"/>
    <w:rsid w:val="006567FF"/>
    <w:rsid w:val="00675766"/>
    <w:rsid w:val="006A278A"/>
    <w:rsid w:val="006A4ABE"/>
    <w:rsid w:val="006B4D2E"/>
    <w:rsid w:val="006C13BB"/>
    <w:rsid w:val="006C6300"/>
    <w:rsid w:val="006F21AD"/>
    <w:rsid w:val="00723073"/>
    <w:rsid w:val="0076744D"/>
    <w:rsid w:val="007972C6"/>
    <w:rsid w:val="007A6396"/>
    <w:rsid w:val="007E7035"/>
    <w:rsid w:val="00822C2B"/>
    <w:rsid w:val="0083C14C"/>
    <w:rsid w:val="00842FC7"/>
    <w:rsid w:val="00852E56"/>
    <w:rsid w:val="00861E78"/>
    <w:rsid w:val="008620BC"/>
    <w:rsid w:val="00862C3E"/>
    <w:rsid w:val="00866D6A"/>
    <w:rsid w:val="0087151E"/>
    <w:rsid w:val="008861D0"/>
    <w:rsid w:val="008A232E"/>
    <w:rsid w:val="008B6864"/>
    <w:rsid w:val="008D3ED6"/>
    <w:rsid w:val="00945761"/>
    <w:rsid w:val="00946EA2"/>
    <w:rsid w:val="00982B26"/>
    <w:rsid w:val="00995F02"/>
    <w:rsid w:val="009A21AF"/>
    <w:rsid w:val="009A4684"/>
    <w:rsid w:val="009D61F4"/>
    <w:rsid w:val="00A01572"/>
    <w:rsid w:val="00A0290F"/>
    <w:rsid w:val="00A1427A"/>
    <w:rsid w:val="00A35B21"/>
    <w:rsid w:val="00A36388"/>
    <w:rsid w:val="00A634E2"/>
    <w:rsid w:val="00A77ABD"/>
    <w:rsid w:val="00A8683F"/>
    <w:rsid w:val="00A92EE8"/>
    <w:rsid w:val="00A93FB2"/>
    <w:rsid w:val="00A95F83"/>
    <w:rsid w:val="00AA31F2"/>
    <w:rsid w:val="00AC3D14"/>
    <w:rsid w:val="00AD6457"/>
    <w:rsid w:val="00AD7342"/>
    <w:rsid w:val="00AF3B65"/>
    <w:rsid w:val="00B004B2"/>
    <w:rsid w:val="00B067A7"/>
    <w:rsid w:val="00B51477"/>
    <w:rsid w:val="00B73DC8"/>
    <w:rsid w:val="00B757AB"/>
    <w:rsid w:val="00B80E9D"/>
    <w:rsid w:val="00B92C8B"/>
    <w:rsid w:val="00BB0031"/>
    <w:rsid w:val="00BF3804"/>
    <w:rsid w:val="00C34DD2"/>
    <w:rsid w:val="00C47604"/>
    <w:rsid w:val="00C84FB2"/>
    <w:rsid w:val="00C90452"/>
    <w:rsid w:val="00CB0D70"/>
    <w:rsid w:val="00CD5E53"/>
    <w:rsid w:val="00CE47BC"/>
    <w:rsid w:val="00D01AF9"/>
    <w:rsid w:val="00D03980"/>
    <w:rsid w:val="00D133C9"/>
    <w:rsid w:val="00D24B94"/>
    <w:rsid w:val="00D33A8D"/>
    <w:rsid w:val="00D34EF8"/>
    <w:rsid w:val="00D3699C"/>
    <w:rsid w:val="00D378FB"/>
    <w:rsid w:val="00D559EA"/>
    <w:rsid w:val="00D633F3"/>
    <w:rsid w:val="00D64079"/>
    <w:rsid w:val="00D64DFC"/>
    <w:rsid w:val="00D81A51"/>
    <w:rsid w:val="00D90E7A"/>
    <w:rsid w:val="00D94E03"/>
    <w:rsid w:val="00DA00AE"/>
    <w:rsid w:val="00DE5740"/>
    <w:rsid w:val="00E154CB"/>
    <w:rsid w:val="00E37E91"/>
    <w:rsid w:val="00E52740"/>
    <w:rsid w:val="00E720B3"/>
    <w:rsid w:val="00EB7CA7"/>
    <w:rsid w:val="00F05694"/>
    <w:rsid w:val="00F25333"/>
    <w:rsid w:val="00F26105"/>
    <w:rsid w:val="00F55E38"/>
    <w:rsid w:val="00F729CC"/>
    <w:rsid w:val="00F73D04"/>
    <w:rsid w:val="00F9599E"/>
    <w:rsid w:val="00FA0926"/>
    <w:rsid w:val="00FA7229"/>
    <w:rsid w:val="00FC3B93"/>
    <w:rsid w:val="00FD30FF"/>
    <w:rsid w:val="00FE593B"/>
    <w:rsid w:val="03C30926"/>
    <w:rsid w:val="03CC4215"/>
    <w:rsid w:val="06014A83"/>
    <w:rsid w:val="0840728A"/>
    <w:rsid w:val="0DB9845E"/>
    <w:rsid w:val="0ECBFC5C"/>
    <w:rsid w:val="10F12520"/>
    <w:rsid w:val="1273CD24"/>
    <w:rsid w:val="14F31EDE"/>
    <w:rsid w:val="16E27D7B"/>
    <w:rsid w:val="183B013A"/>
    <w:rsid w:val="1C75C8B2"/>
    <w:rsid w:val="1D14AEED"/>
    <w:rsid w:val="1D2B43A5"/>
    <w:rsid w:val="1DC1B0F8"/>
    <w:rsid w:val="1EFA6E77"/>
    <w:rsid w:val="1F8BE32A"/>
    <w:rsid w:val="21792231"/>
    <w:rsid w:val="22FD6295"/>
    <w:rsid w:val="238194B7"/>
    <w:rsid w:val="2432B57D"/>
    <w:rsid w:val="245F6236"/>
    <w:rsid w:val="263FD581"/>
    <w:rsid w:val="28C394E3"/>
    <w:rsid w:val="28D97771"/>
    <w:rsid w:val="291693BF"/>
    <w:rsid w:val="2CDB437C"/>
    <w:rsid w:val="2D1459C0"/>
    <w:rsid w:val="2EAF2BB1"/>
    <w:rsid w:val="2EC8540E"/>
    <w:rsid w:val="31E1056B"/>
    <w:rsid w:val="31E6CC73"/>
    <w:rsid w:val="33198176"/>
    <w:rsid w:val="3462A14E"/>
    <w:rsid w:val="351E6D35"/>
    <w:rsid w:val="36D365F3"/>
    <w:rsid w:val="387D7BD3"/>
    <w:rsid w:val="387DFD20"/>
    <w:rsid w:val="3899F624"/>
    <w:rsid w:val="39362292"/>
    <w:rsid w:val="3965CD89"/>
    <w:rsid w:val="3B8DAEB9"/>
    <w:rsid w:val="3BC624C9"/>
    <w:rsid w:val="3C760636"/>
    <w:rsid w:val="3D297F1A"/>
    <w:rsid w:val="3E458D7E"/>
    <w:rsid w:val="3EC2B6E4"/>
    <w:rsid w:val="3FEDFA3B"/>
    <w:rsid w:val="4016EE20"/>
    <w:rsid w:val="4208B014"/>
    <w:rsid w:val="425B2730"/>
    <w:rsid w:val="43B1E8FB"/>
    <w:rsid w:val="448C8391"/>
    <w:rsid w:val="44F08984"/>
    <w:rsid w:val="460F2B95"/>
    <w:rsid w:val="46E557BB"/>
    <w:rsid w:val="486C31C1"/>
    <w:rsid w:val="491A01A6"/>
    <w:rsid w:val="499B8D58"/>
    <w:rsid w:val="4BA3D283"/>
    <w:rsid w:val="4BD9AB13"/>
    <w:rsid w:val="4D3FA2E4"/>
    <w:rsid w:val="4EE5A0DA"/>
    <w:rsid w:val="4F718CFA"/>
    <w:rsid w:val="4FA16EC9"/>
    <w:rsid w:val="5102454A"/>
    <w:rsid w:val="529E73FE"/>
    <w:rsid w:val="53A2DFB5"/>
    <w:rsid w:val="53AECF11"/>
    <w:rsid w:val="53F3C872"/>
    <w:rsid w:val="545D5A0E"/>
    <w:rsid w:val="55FE8A81"/>
    <w:rsid w:val="5A3A4902"/>
    <w:rsid w:val="5A50B314"/>
    <w:rsid w:val="5BCFF73E"/>
    <w:rsid w:val="5C9490E3"/>
    <w:rsid w:val="5CBA0EAE"/>
    <w:rsid w:val="5E384ECA"/>
    <w:rsid w:val="5E9A0483"/>
    <w:rsid w:val="60611847"/>
    <w:rsid w:val="631647C4"/>
    <w:rsid w:val="64AC55AB"/>
    <w:rsid w:val="64D6601F"/>
    <w:rsid w:val="64E4B15E"/>
    <w:rsid w:val="65878510"/>
    <w:rsid w:val="68069EEC"/>
    <w:rsid w:val="6BE1AB1D"/>
    <w:rsid w:val="6CB2A233"/>
    <w:rsid w:val="6D35B651"/>
    <w:rsid w:val="6F07B3C6"/>
    <w:rsid w:val="70A17809"/>
    <w:rsid w:val="70D844F1"/>
    <w:rsid w:val="72A14425"/>
    <w:rsid w:val="7321E3B7"/>
    <w:rsid w:val="751DFD80"/>
    <w:rsid w:val="76921565"/>
    <w:rsid w:val="7D679C15"/>
    <w:rsid w:val="7F999F90"/>
    <w:rsid w:val="7FCA70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B011"/>
  <w15:chartTrackingRefBased/>
  <w15:docId w15:val="{81BD35BA-E473-4A5A-ADDE-E66B2B4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2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2EE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E08A4"/>
    <w:rPr>
      <w:sz w:val="16"/>
      <w:szCs w:val="16"/>
    </w:rPr>
  </w:style>
  <w:style w:type="paragraph" w:styleId="CommentText">
    <w:name w:val="annotation text"/>
    <w:basedOn w:val="Normal"/>
    <w:link w:val="CommentTextChar"/>
    <w:uiPriority w:val="99"/>
    <w:semiHidden/>
    <w:unhideWhenUsed/>
    <w:rsid w:val="000E08A4"/>
    <w:pPr>
      <w:spacing w:line="240" w:lineRule="auto"/>
    </w:pPr>
    <w:rPr>
      <w:sz w:val="20"/>
      <w:szCs w:val="20"/>
    </w:rPr>
  </w:style>
  <w:style w:type="character" w:customStyle="1" w:styleId="CommentTextChar">
    <w:name w:val="Comment Text Char"/>
    <w:basedOn w:val="DefaultParagraphFont"/>
    <w:link w:val="CommentText"/>
    <w:uiPriority w:val="99"/>
    <w:semiHidden/>
    <w:rsid w:val="000E08A4"/>
    <w:rPr>
      <w:sz w:val="20"/>
      <w:szCs w:val="20"/>
    </w:rPr>
  </w:style>
  <w:style w:type="paragraph" w:styleId="CommentSubject">
    <w:name w:val="annotation subject"/>
    <w:basedOn w:val="CommentText"/>
    <w:next w:val="CommentText"/>
    <w:link w:val="CommentSubjectChar"/>
    <w:uiPriority w:val="99"/>
    <w:semiHidden/>
    <w:unhideWhenUsed/>
    <w:rsid w:val="000E08A4"/>
    <w:rPr>
      <w:b/>
      <w:bCs/>
    </w:rPr>
  </w:style>
  <w:style w:type="character" w:customStyle="1" w:styleId="CommentSubjectChar">
    <w:name w:val="Comment Subject Char"/>
    <w:basedOn w:val="CommentTextChar"/>
    <w:link w:val="CommentSubject"/>
    <w:uiPriority w:val="99"/>
    <w:semiHidden/>
    <w:rsid w:val="000E08A4"/>
    <w:rPr>
      <w:b/>
      <w:bCs/>
      <w:sz w:val="20"/>
      <w:szCs w:val="20"/>
    </w:rPr>
  </w:style>
  <w:style w:type="paragraph" w:styleId="ListParagraph">
    <w:name w:val="List Paragraph"/>
    <w:basedOn w:val="Normal"/>
    <w:uiPriority w:val="34"/>
    <w:qFormat/>
    <w:rsid w:val="00D0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d320956-999c-4985-afe3-08a1f78a90c8">
      <UserInfo>
        <DisplayName>Iryna Peresyolkova (DOT)</DisplayName>
        <AccountId>292</AccountId>
        <AccountType/>
      </UserInfo>
      <UserInfo>
        <DisplayName>Geoffrey A Simmons (DOT)</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2C88547EF6D40AA97DE016D68E2B0" ma:contentTypeVersion="12" ma:contentTypeDescription="Create a new document." ma:contentTypeScope="" ma:versionID="36ecefcce625c2b949d08a9a88334922">
  <xsd:schema xmlns:xsd="http://www.w3.org/2001/XMLSchema" xmlns:xs="http://www.w3.org/2001/XMLSchema" xmlns:p="http://schemas.microsoft.com/office/2006/metadata/properties" xmlns:ns2="6d320956-999c-4985-afe3-08a1f78a90c8" xmlns:ns3="2054cc12-6419-4e1c-8cd2-d74436e3f2a7" targetNamespace="http://schemas.microsoft.com/office/2006/metadata/properties" ma:root="true" ma:fieldsID="5afbebf00bed718bf4188fd7d9d10a0d" ns2:_="" ns3:_="">
    <xsd:import namespace="6d320956-999c-4985-afe3-08a1f78a90c8"/>
    <xsd:import namespace="2054cc12-6419-4e1c-8cd2-d74436e3f2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0956-999c-4985-afe3-08a1f78a90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4cc12-6419-4e1c-8cd2-d74436e3f2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09A29-E4ED-4089-AC94-57300BB51D3E}">
  <ds:schemaRefs>
    <ds:schemaRef ds:uri="http://schemas.openxmlformats.org/officeDocument/2006/bibliography"/>
  </ds:schemaRefs>
</ds:datastoreItem>
</file>

<file path=customXml/itemProps2.xml><?xml version="1.0" encoding="utf-8"?>
<ds:datastoreItem xmlns:ds="http://schemas.openxmlformats.org/officeDocument/2006/customXml" ds:itemID="{8FB19B93-62FA-4599-B376-AFD2877666EA}">
  <ds:schemaRefs>
    <ds:schemaRef ds:uri="http://schemas.microsoft.com/office/2006/metadata/properties"/>
    <ds:schemaRef ds:uri="http://schemas.microsoft.com/office/infopath/2007/PartnerControls"/>
    <ds:schemaRef ds:uri="6d320956-999c-4985-afe3-08a1f78a90c8"/>
  </ds:schemaRefs>
</ds:datastoreItem>
</file>

<file path=customXml/itemProps3.xml><?xml version="1.0" encoding="utf-8"?>
<ds:datastoreItem xmlns:ds="http://schemas.openxmlformats.org/officeDocument/2006/customXml" ds:itemID="{6CA75E9E-2A4F-404E-B9F6-E15035C51C27}">
  <ds:schemaRefs>
    <ds:schemaRef ds:uri="http://schemas.microsoft.com/sharepoint/v3/contenttype/forms"/>
  </ds:schemaRefs>
</ds:datastoreItem>
</file>

<file path=customXml/itemProps4.xml><?xml version="1.0" encoding="utf-8"?>
<ds:datastoreItem xmlns:ds="http://schemas.openxmlformats.org/officeDocument/2006/customXml" ds:itemID="{3D5CDD7F-9FD6-4A2E-A0DB-02CD52D5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0956-999c-4985-afe3-08a1f78a90c8"/>
    <ds:schemaRef ds:uri="2054cc12-6419-4e1c-8cd2-d74436e3f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094c7a7-0748-466e-941e-72882c3097ba}" enabled="0" method="" siteId="{5094c7a7-0748-466e-941e-72882c3097b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Cain (DOT)</dc:creator>
  <cp:keywords/>
  <dc:description/>
  <cp:lastModifiedBy>Do-Not-Use- Iryna Peresyolkova (DOT)</cp:lastModifiedBy>
  <cp:revision>2</cp:revision>
  <dcterms:created xsi:type="dcterms:W3CDTF">2023-09-21T09:27:00Z</dcterms:created>
  <dcterms:modified xsi:type="dcterms:W3CDTF">2023-09-21T09:27:00Z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0x0101000D72C88547EF6D40AA97DE016D68E2B0</vt:lpwstr>
  </property>
</Properties>
</file>